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C3" w:rsidRPr="00FA07C3" w:rsidRDefault="00FA07C3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126CCB" w:rsidRPr="00FA07C3" w:rsidRDefault="00651BF5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A07C3">
        <w:rPr>
          <w:rFonts w:ascii="Bookman Old Style" w:hAnsi="Bookman Old Style"/>
          <w:b/>
          <w:sz w:val="28"/>
          <w:szCs w:val="28"/>
        </w:rPr>
        <w:t>KERANGKA ACUAN KINERJA</w:t>
      </w:r>
    </w:p>
    <w:p w:rsidR="00F24A21" w:rsidRPr="00FA07C3" w:rsidRDefault="00693103" w:rsidP="00F24A2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A07C3">
        <w:rPr>
          <w:rFonts w:ascii="Bookman Old Style" w:hAnsi="Bookman Old Style"/>
          <w:b/>
          <w:sz w:val="28"/>
          <w:szCs w:val="28"/>
        </w:rPr>
        <w:t xml:space="preserve">KEGIATAN </w:t>
      </w:r>
      <w:r w:rsidR="00504244" w:rsidRPr="00FA07C3">
        <w:rPr>
          <w:rFonts w:ascii="Bookman Old Style" w:hAnsi="Bookman Old Style"/>
          <w:b/>
          <w:sz w:val="28"/>
          <w:szCs w:val="28"/>
        </w:rPr>
        <w:t xml:space="preserve">PENYELENGGARAAN PERINGATAN HARI  BESAR NASIONAL DAN DAERAH </w:t>
      </w:r>
    </w:p>
    <w:p w:rsidR="00B7466D" w:rsidRPr="00FA07C3" w:rsidRDefault="00B7466D" w:rsidP="00F24A21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FA07C3">
        <w:rPr>
          <w:rFonts w:ascii="Bookman Old Style" w:hAnsi="Bookman Old Style"/>
          <w:b/>
          <w:sz w:val="28"/>
          <w:szCs w:val="28"/>
        </w:rPr>
        <w:t>TAHUN ANGGARAN 201</w:t>
      </w:r>
      <w:r w:rsidR="00504244" w:rsidRPr="00FA07C3">
        <w:rPr>
          <w:rFonts w:ascii="Bookman Old Style" w:hAnsi="Bookman Old Style"/>
          <w:b/>
          <w:sz w:val="28"/>
          <w:szCs w:val="28"/>
        </w:rPr>
        <w:t>9</w:t>
      </w:r>
    </w:p>
    <w:p w:rsidR="00651BF5" w:rsidRPr="00FA07C3" w:rsidRDefault="00651BF5" w:rsidP="00651BF5">
      <w:pPr>
        <w:jc w:val="center"/>
        <w:rPr>
          <w:rFonts w:ascii="Bookman Old Style" w:hAnsi="Bookman Old Style"/>
          <w:b/>
          <w:sz w:val="24"/>
        </w:rPr>
      </w:pPr>
    </w:p>
    <w:p w:rsidR="00651BF5" w:rsidRPr="00311B02" w:rsidRDefault="00F24A21" w:rsidP="00C66292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311B02">
        <w:rPr>
          <w:rFonts w:ascii="Bookman Old Style" w:hAnsi="Bookman Old Style"/>
          <w:b/>
          <w:sz w:val="24"/>
          <w:szCs w:val="24"/>
        </w:rPr>
        <w:t>LATAR BELAKANG</w:t>
      </w:r>
    </w:p>
    <w:p w:rsidR="00651BF5" w:rsidRPr="00311B02" w:rsidRDefault="00651BF5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Penyelenggaraan pemerintahan daerah yang</w:t>
      </w:r>
      <w:r w:rsidR="00B7466D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efektif dan efisien sangat membutuhkan tersedianya </w:t>
      </w:r>
      <w:r w:rsidR="009E454D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perencanaan, pelaksanaan, monitoring dan evaluasi 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yang memadai</w:t>
      </w:r>
      <w:r w:rsidR="009E454D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,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terkelola dengan baik dan efisien, sejalan dengan ketentuan yang diatur dalam Undang-Undang</w:t>
      </w:r>
      <w:r w:rsidR="00F24A21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Nomor 28 Tahun 1999 tentang Penyelenggaraan Pemerintahan yang </w:t>
      </w:r>
      <w:r w:rsidR="00F24A21" w:rsidRPr="00311B02">
        <w:rPr>
          <w:rFonts w:ascii="Bookman Old Style" w:hAnsi="Bookman Old Style"/>
          <w:sz w:val="24"/>
          <w:szCs w:val="24"/>
        </w:rPr>
        <w:t>Bebas Dari Korupsi, Kolusi, Dan Nepotisme</w:t>
      </w:r>
      <w:r w:rsidR="009E454D" w:rsidRPr="00311B02">
        <w:rPr>
          <w:rFonts w:ascii="Bookman Old Style" w:hAnsi="Bookman Old Style"/>
          <w:sz w:val="24"/>
          <w:szCs w:val="24"/>
        </w:rPr>
        <w:t>, t</w:t>
      </w:r>
      <w:r w:rsidR="009E454D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ata kelola pemerintahan yang baik dan bersih perlu didukung pelaksanaan, monitoring dan evaluasi yang baik pula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.</w:t>
      </w:r>
    </w:p>
    <w:p w:rsidR="00651BF5" w:rsidRPr="00311B02" w:rsidRDefault="00651BF5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bookmarkStart w:id="0" w:name="_GoBack"/>
      <w:bookmarkEnd w:id="0"/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Dalam pelaksanaannya, </w:t>
      </w:r>
      <w:r w:rsidR="009E454D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Penyusunan Rencana Kerja Porgram dan Kegiatan, Penyusunan Anggaran, Penyusunan Rencana Kerja dan Operasional, Penyusunan Pemaketan (SiRUP), Triwulanan, Laporan Bulanan sampai LKPJ dll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semakin berkembang dan kompleks, belum dapat dilaksanakan secara optimal karena adanya beberapa permasalahan.</w:t>
      </w:r>
    </w:p>
    <w:p w:rsidR="00651BF5" w:rsidRPr="00311B02" w:rsidRDefault="00651BF5" w:rsidP="00C66292">
      <w:p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Maksud Dan Tujuan.</w:t>
      </w:r>
    </w:p>
    <w:p w:rsidR="001A500E" w:rsidRPr="00311B02" w:rsidRDefault="001A500E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1A500E" w:rsidRPr="00311B02" w:rsidRDefault="001A500E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hAnsi="Bookman Old Style" w:cs="Arial"/>
          <w:sz w:val="24"/>
          <w:szCs w:val="24"/>
        </w:rPr>
        <w:t xml:space="preserve">Maksud dan Tujuan 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Kegiatan 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Sinkronisasi Program dan Kegiatan 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meliputi Perencanaan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Kebutuhan Barang,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Penyusunan Rencana Kerja Porgram dan Kegiatan, Penyusunan Anggaran, Penyusunan Rencana Kerja dan Operasional, Penyusunan Pemaketan (SiRUP), Pengadaan Barang, Triwulanan, Laporan Bulanan, Penatausahaan sampai LKPJ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.</w:t>
      </w:r>
    </w:p>
    <w:p w:rsidR="001A500E" w:rsidRPr="00311B02" w:rsidRDefault="001A500E" w:rsidP="00C66292">
      <w:pPr>
        <w:autoSpaceDE w:val="0"/>
        <w:autoSpaceDN w:val="0"/>
        <w:adjustRightInd w:val="0"/>
        <w:spacing w:after="0"/>
        <w:ind w:left="360"/>
        <w:rPr>
          <w:rFonts w:ascii="Bookman Old Style" w:hAnsi="Bookman Old Style" w:cs="Arial"/>
          <w:sz w:val="24"/>
          <w:szCs w:val="24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Dasar Hukum.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Undang-Undang Nomor 28 Tahun 1999 tentang Penyelenggaraan </w:t>
      </w:r>
      <w:r w:rsidR="004D0453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Pemerintahan yang </w:t>
      </w:r>
      <w:r w:rsidR="004D0453" w:rsidRPr="00311B02">
        <w:rPr>
          <w:rFonts w:ascii="Bookman Old Style" w:hAnsi="Bookman Old Style"/>
          <w:sz w:val="24"/>
          <w:szCs w:val="24"/>
        </w:rPr>
        <w:t>Bebas Dari Korupsi, Kolusi, Dan Nepotisme;</w:t>
      </w:r>
    </w:p>
    <w:p w:rsidR="004D0453" w:rsidRPr="00311B02" w:rsidRDefault="004D0453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hAnsi="Bookman Old Style"/>
          <w:sz w:val="24"/>
          <w:szCs w:val="24"/>
        </w:rPr>
        <w:t>Undang-Undang Nomor 17 Tahun 2003 tentang Keuangan Negara;</w:t>
      </w:r>
    </w:p>
    <w:p w:rsidR="00DE2400" w:rsidRPr="00311B02" w:rsidRDefault="00DE2400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hAnsi="Bookman Old Style"/>
          <w:sz w:val="24"/>
          <w:szCs w:val="24"/>
        </w:rPr>
        <w:t>Undang-Undang Nomor 1 Tahun 2004 tentang Perbendaharaan Negara;</w:t>
      </w:r>
    </w:p>
    <w:p w:rsidR="00656482" w:rsidRPr="00311B02" w:rsidRDefault="00656482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hAnsi="Bookman Old Style"/>
          <w:sz w:val="24"/>
          <w:szCs w:val="24"/>
        </w:rPr>
        <w:t>Undang-Undang Nomor 23 Tahun 2014 tentang Pemerintahan Daerah;</w:t>
      </w:r>
    </w:p>
    <w:p w:rsidR="004D0453" w:rsidRPr="00311B02" w:rsidRDefault="004D0453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hAnsi="Bookman Old Style"/>
          <w:sz w:val="24"/>
          <w:szCs w:val="24"/>
        </w:rPr>
        <w:t>Peraturan Pemerintah Nomor 27 Tahun 2014 tentang Pengelolaan Barang Milik Negara/Daerah;</w:t>
      </w:r>
    </w:p>
    <w:p w:rsidR="00B7466D" w:rsidRPr="00311B02" w:rsidRDefault="00B7466D" w:rsidP="00C66292">
      <w:pPr>
        <w:numPr>
          <w:ilvl w:val="1"/>
          <w:numId w:val="1"/>
        </w:numPr>
        <w:tabs>
          <w:tab w:val="num" w:pos="1134"/>
        </w:tabs>
        <w:spacing w:after="0"/>
        <w:ind w:left="1134" w:hanging="708"/>
        <w:jc w:val="both"/>
        <w:rPr>
          <w:rFonts w:ascii="Bookman Old Style" w:hAnsi="Bookman Old Style" w:cs="Tahoma"/>
          <w:sz w:val="24"/>
          <w:szCs w:val="24"/>
        </w:rPr>
      </w:pPr>
      <w:r w:rsidRPr="00311B02">
        <w:rPr>
          <w:rFonts w:ascii="Bookman Old Style" w:hAnsi="Bookman Old Style" w:cs="Tahoma"/>
          <w:sz w:val="24"/>
          <w:szCs w:val="24"/>
        </w:rPr>
        <w:t xml:space="preserve">Peraturan Presiden Nomor 54 Tahun  2010 tentang Pengadaan Barang/Jasa Pemerintah sebagaimana telah diubah terakhir kali dengan Peraturan Presiden Nomor 4 Tahun 2015 tentang Perubahan Keempat Atas Peraturan Presiden Nomor 54 Tahun 2010 Tentang Pengadaan Barang/Jasa Pemerintah; </w:t>
      </w:r>
    </w:p>
    <w:p w:rsidR="004D0453" w:rsidRPr="00311B02" w:rsidRDefault="00656482" w:rsidP="00C66292">
      <w:pPr>
        <w:pStyle w:val="ListParagraph"/>
        <w:numPr>
          <w:ilvl w:val="1"/>
          <w:numId w:val="1"/>
        </w:numPr>
        <w:spacing w:after="0"/>
        <w:ind w:left="1134" w:hanging="708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Peraturan Daerah Nomor 2 Tahun Tahun 2008 tentang Pengelolaan Barang Milik Daerah;</w:t>
      </w:r>
    </w:p>
    <w:p w:rsidR="008C7CB7" w:rsidRPr="00311B02" w:rsidRDefault="008C7CB7" w:rsidP="00FA07C3">
      <w:pPr>
        <w:pStyle w:val="BodyText2"/>
        <w:numPr>
          <w:ilvl w:val="1"/>
          <w:numId w:val="1"/>
        </w:numPr>
        <w:spacing w:line="276" w:lineRule="auto"/>
        <w:ind w:hanging="654"/>
        <w:rPr>
          <w:rFonts w:ascii="Bookman Old Style" w:hAnsi="Bookman Old Style" w:cs="Tahoma"/>
          <w:sz w:val="24"/>
          <w:szCs w:val="24"/>
          <w:lang w:val="id-ID"/>
        </w:rPr>
      </w:pPr>
      <w:proofErr w:type="spellStart"/>
      <w:r w:rsidRPr="00311B02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Daerah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14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Pendapatan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Belanja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Daerah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2019</w:t>
      </w:r>
    </w:p>
    <w:p w:rsidR="008C7CB7" w:rsidRPr="00311B02" w:rsidRDefault="008C7CB7" w:rsidP="00FA07C3">
      <w:pPr>
        <w:pStyle w:val="BodyText2"/>
        <w:numPr>
          <w:ilvl w:val="1"/>
          <w:numId w:val="1"/>
        </w:numPr>
        <w:spacing w:line="276" w:lineRule="auto"/>
        <w:ind w:hanging="654"/>
        <w:rPr>
          <w:rFonts w:ascii="Bookman Old Style" w:hAnsi="Bookman Old Style" w:cs="Tahoma"/>
          <w:sz w:val="24"/>
          <w:szCs w:val="24"/>
          <w:lang w:val="id-ID"/>
        </w:rPr>
      </w:pPr>
      <w:r w:rsidRPr="00311B02">
        <w:rPr>
          <w:rFonts w:ascii="Bookman Old Style" w:hAnsi="Bookman Old Style" w:cs="Tahoma"/>
          <w:sz w:val="24"/>
          <w:szCs w:val="24"/>
          <w:lang w:val="id-ID"/>
        </w:rPr>
        <w:t xml:space="preserve">Peraturan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Gubernur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96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Penjabaran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Pendapatan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Belanja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Daerah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2019;</w:t>
      </w:r>
    </w:p>
    <w:p w:rsidR="008C7CB7" w:rsidRPr="00311B02" w:rsidRDefault="008C7CB7" w:rsidP="00FA07C3">
      <w:pPr>
        <w:pStyle w:val="BodyText2"/>
        <w:numPr>
          <w:ilvl w:val="1"/>
          <w:numId w:val="1"/>
        </w:numPr>
        <w:spacing w:line="276" w:lineRule="auto"/>
        <w:ind w:hanging="654"/>
        <w:rPr>
          <w:rFonts w:ascii="Bookman Old Style" w:hAnsi="Bookman Old Style" w:cs="Tahoma"/>
          <w:sz w:val="24"/>
          <w:szCs w:val="24"/>
          <w:lang w:val="id-ID"/>
        </w:rPr>
      </w:pPr>
      <w:r w:rsidRPr="00311B02">
        <w:rPr>
          <w:rFonts w:ascii="Bookman Old Style" w:hAnsi="Bookman Old Style" w:cs="Tahoma"/>
          <w:sz w:val="24"/>
          <w:szCs w:val="24"/>
          <w:lang w:val="id-ID"/>
        </w:rPr>
        <w:lastRenderedPageBreak/>
        <w:t xml:space="preserve">Peraturan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Gubernur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73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Biaya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Kegiatan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Honorarium,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Biaya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Pemeliharaan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Standardisasi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Harga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Pengadaan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Barang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>/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Jasa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Kebutuhan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Pemerintah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311B02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311B02">
        <w:rPr>
          <w:rFonts w:ascii="Bookman Old Style" w:hAnsi="Bookman Old Style" w:cs="Tahoma"/>
          <w:sz w:val="24"/>
          <w:szCs w:val="24"/>
          <w:lang w:val="en-AU"/>
        </w:rPr>
        <w:t xml:space="preserve"> 2019;</w:t>
      </w:r>
    </w:p>
    <w:p w:rsidR="00C66292" w:rsidRPr="00311B02" w:rsidRDefault="00C66292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Sasaran Kegiatan</w:t>
      </w:r>
      <w:r w:rsidR="00656482"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;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656482" w:rsidRPr="00311B02" w:rsidRDefault="00656482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Sasaran Kegiatan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Penyelenggaraan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Peringatan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Hari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Besar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Nasional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dan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Daerah 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adalah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untuk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meningkatkan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semangat</w:t>
      </w:r>
      <w:proofErr w:type="spellEnd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kebangsaan</w:t>
      </w:r>
      <w:proofErr w:type="spellEnd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dan</w:t>
      </w:r>
      <w:proofErr w:type="spellEnd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cinta</w:t>
      </w:r>
      <w:proofErr w:type="spellEnd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tanah</w:t>
      </w:r>
      <w:proofErr w:type="spellEnd"/>
      <w:r w:rsidR="00311B02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air</w:t>
      </w:r>
      <w:r w:rsidRPr="00311B02">
        <w:rPr>
          <w:rFonts w:ascii="Bookman Old Style" w:hAnsi="Bookman Old Style" w:cs="Arial"/>
          <w:sz w:val="24"/>
          <w:szCs w:val="24"/>
        </w:rPr>
        <w:t>.</w:t>
      </w:r>
    </w:p>
    <w:p w:rsidR="001A500E" w:rsidRPr="00311B02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Lokasi Kegiatan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656482" w:rsidRPr="00311B02" w:rsidRDefault="00DD690C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Pemerintah Provinsi</w:t>
      </w:r>
      <w:r w:rsidR="00656482" w:rsidRPr="00311B02">
        <w:rPr>
          <w:rFonts w:ascii="Bookman Old Style" w:hAnsi="Bookman Old Style" w:cs="Arial"/>
          <w:sz w:val="24"/>
          <w:szCs w:val="24"/>
        </w:rPr>
        <w:t xml:space="preserve"> Jawa Tengah.</w:t>
      </w:r>
    </w:p>
    <w:p w:rsidR="001A500E" w:rsidRPr="00311B02" w:rsidRDefault="001A500E" w:rsidP="00C66292">
      <w:pPr>
        <w:pStyle w:val="ListParagraph"/>
        <w:ind w:left="360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Metode Kegiatan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656482" w:rsidRPr="00311B02" w:rsidRDefault="00656482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Pertemuan Koordinasi</w:t>
      </w:r>
      <w:r w:rsidR="000000FF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 dan Konsultasi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;</w:t>
      </w:r>
    </w:p>
    <w:p w:rsidR="00311B02" w:rsidRPr="00311B02" w:rsidRDefault="00FA07C3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Resepsi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</w:p>
    <w:p w:rsidR="00B7466D" w:rsidRPr="00311B02" w:rsidRDefault="00311B02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Upacara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="00FA07C3"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Kenegaraan</w:t>
      </w:r>
      <w:proofErr w:type="spellEnd"/>
    </w:p>
    <w:p w:rsidR="000000FF" w:rsidRPr="00311B02" w:rsidRDefault="000000FF" w:rsidP="00C66292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Evaluasi.</w:t>
      </w:r>
    </w:p>
    <w:p w:rsidR="001A500E" w:rsidRPr="00311B02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Waktu Kegiatan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9"/>
        <w:gridCol w:w="1710"/>
        <w:gridCol w:w="527"/>
        <w:gridCol w:w="575"/>
        <w:gridCol w:w="483"/>
        <w:gridCol w:w="708"/>
        <w:gridCol w:w="612"/>
        <w:gridCol w:w="692"/>
        <w:gridCol w:w="476"/>
        <w:gridCol w:w="476"/>
        <w:gridCol w:w="476"/>
        <w:gridCol w:w="518"/>
        <w:gridCol w:w="518"/>
        <w:gridCol w:w="518"/>
      </w:tblGrid>
      <w:tr w:rsidR="000000FF" w:rsidRPr="00311B02" w:rsidTr="000000FF">
        <w:tc>
          <w:tcPr>
            <w:tcW w:w="528" w:type="dxa"/>
            <w:vMerge w:val="restart"/>
            <w:vAlign w:val="center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245" w:type="dxa"/>
            <w:vMerge w:val="restart"/>
            <w:vAlign w:val="center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7271" w:type="dxa"/>
            <w:gridSpan w:val="12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Pelaksanaan (Bulan)</w:t>
            </w:r>
          </w:p>
        </w:tc>
      </w:tr>
      <w:tr w:rsidR="000000FF" w:rsidRPr="00311B02" w:rsidTr="000000FF">
        <w:tc>
          <w:tcPr>
            <w:tcW w:w="528" w:type="dxa"/>
            <w:vMerge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1245" w:type="dxa"/>
            <w:vMerge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91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57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3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43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9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1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12</w:t>
            </w:r>
          </w:p>
        </w:tc>
      </w:tr>
      <w:tr w:rsidR="000000FF" w:rsidRPr="00311B02" w:rsidTr="000000FF">
        <w:tc>
          <w:tcPr>
            <w:tcW w:w="528" w:type="dxa"/>
            <w:vAlign w:val="bottom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45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Persiapan</w:t>
            </w:r>
          </w:p>
        </w:tc>
        <w:tc>
          <w:tcPr>
            <w:tcW w:w="591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3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843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821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</w:tr>
      <w:tr w:rsidR="000000FF" w:rsidRPr="00311B02" w:rsidTr="000000FF">
        <w:tc>
          <w:tcPr>
            <w:tcW w:w="528" w:type="dxa"/>
            <w:vAlign w:val="bottom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45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Pelaksanaan</w:t>
            </w:r>
          </w:p>
        </w:tc>
        <w:tc>
          <w:tcPr>
            <w:tcW w:w="591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3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43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821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</w:tr>
      <w:tr w:rsidR="000000FF" w:rsidRPr="00311B02" w:rsidTr="000000FF">
        <w:tc>
          <w:tcPr>
            <w:tcW w:w="528" w:type="dxa"/>
            <w:vAlign w:val="bottom"/>
          </w:tcPr>
          <w:p w:rsidR="000000FF" w:rsidRPr="00311B02" w:rsidRDefault="000000FF" w:rsidP="00C66292">
            <w:pPr>
              <w:spacing w:line="276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45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  <w:r w:rsidRPr="00311B02"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  <w:t>Evaluasi</w:t>
            </w:r>
          </w:p>
        </w:tc>
        <w:tc>
          <w:tcPr>
            <w:tcW w:w="591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657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3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843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821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  <w:tc>
          <w:tcPr>
            <w:tcW w:w="520" w:type="dxa"/>
            <w:shd w:val="clear" w:color="auto" w:fill="FF0000"/>
          </w:tcPr>
          <w:p w:rsidR="000000FF" w:rsidRPr="00311B02" w:rsidRDefault="000000FF" w:rsidP="00C6629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id-ID"/>
              </w:rPr>
            </w:pPr>
          </w:p>
        </w:tc>
      </w:tr>
    </w:tbl>
    <w:p w:rsidR="000000FF" w:rsidRPr="00311B02" w:rsidRDefault="000000FF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Anggaran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0000FF" w:rsidRPr="00311B02" w:rsidRDefault="000000FF" w:rsidP="00C66292">
      <w:pPr>
        <w:autoSpaceDE w:val="0"/>
        <w:autoSpaceDN w:val="0"/>
        <w:adjustRightInd w:val="0"/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Anggaran Kegiatan Fasilitasi Dan Koordinasi Pengelolaan Barang Milik Daerah sebesar Rp. </w:t>
      </w:r>
      <w:r w:rsidR="00504244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7</w:t>
      </w:r>
      <w:r w:rsidR="00CD5E33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5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0.000.000,00 (</w:t>
      </w:r>
      <w:r w:rsidR="00504244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Tujuh </w:t>
      </w:r>
      <w:r w:rsidR="00CD5E33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 xml:space="preserve">ratus lima puluh 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juta rupiah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) bersumber dari Anggaran Pendapatan Dan Belanja Daerah Provinsi Jawa Tengah Tahun Anggaran 201</w:t>
      </w:r>
      <w:r w:rsidR="00504244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9</w:t>
      </w:r>
      <w:r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.</w:t>
      </w:r>
    </w:p>
    <w:p w:rsidR="001A500E" w:rsidRPr="00311B02" w:rsidRDefault="001A500E" w:rsidP="00C66292">
      <w:pPr>
        <w:pStyle w:val="ListParagraph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</w:p>
    <w:p w:rsidR="001A500E" w:rsidRPr="00311B02" w:rsidRDefault="001A500E" w:rsidP="00C66292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  <w:r w:rsidRPr="00311B02">
        <w:rPr>
          <w:rFonts w:ascii="Bookman Old Style" w:eastAsia="Times New Roman" w:hAnsi="Bookman Old Style" w:cs="Arial"/>
          <w:b/>
          <w:sz w:val="24"/>
          <w:szCs w:val="24"/>
          <w:lang w:eastAsia="id-ID"/>
        </w:rPr>
        <w:t>Keluaran</w:t>
      </w:r>
    </w:p>
    <w:p w:rsidR="00B7466D" w:rsidRPr="00311B02" w:rsidRDefault="00B7466D" w:rsidP="00C66292">
      <w:pPr>
        <w:pStyle w:val="ListParagraph"/>
        <w:spacing w:after="0"/>
        <w:ind w:left="360"/>
        <w:jc w:val="both"/>
        <w:rPr>
          <w:rFonts w:ascii="Bookman Old Style" w:eastAsia="Times New Roman" w:hAnsi="Bookman Old Style" w:cs="Arial"/>
          <w:b/>
          <w:sz w:val="24"/>
          <w:szCs w:val="24"/>
          <w:lang w:eastAsia="id-ID"/>
        </w:rPr>
      </w:pPr>
    </w:p>
    <w:p w:rsidR="00DD690C" w:rsidRPr="00311B02" w:rsidRDefault="00311B02" w:rsidP="00C66292">
      <w:pPr>
        <w:spacing w:after="0"/>
        <w:ind w:left="360"/>
        <w:jc w:val="both"/>
        <w:rPr>
          <w:rFonts w:ascii="Bookman Old Style" w:eastAsia="Times New Roman" w:hAnsi="Bookman Old Style" w:cs="Arial"/>
          <w:sz w:val="24"/>
          <w:szCs w:val="24"/>
          <w:lang w:eastAsia="id-ID"/>
        </w:rPr>
      </w:pP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Meningkatnya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semangat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kebangsaan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dan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cinta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</w:t>
      </w:r>
      <w:proofErr w:type="spellStart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>tanah</w:t>
      </w:r>
      <w:proofErr w:type="spellEnd"/>
      <w:r w:rsidRPr="00311B02">
        <w:rPr>
          <w:rFonts w:ascii="Bookman Old Style" w:eastAsia="Times New Roman" w:hAnsi="Bookman Old Style" w:cs="Arial"/>
          <w:sz w:val="24"/>
          <w:szCs w:val="24"/>
          <w:lang w:val="en-GB" w:eastAsia="id-ID"/>
        </w:rPr>
        <w:t xml:space="preserve"> air</w:t>
      </w:r>
      <w:r w:rsidR="00DD690C" w:rsidRPr="00311B02">
        <w:rPr>
          <w:rFonts w:ascii="Bookman Old Style" w:eastAsia="Times New Roman" w:hAnsi="Bookman Old Style" w:cs="Arial"/>
          <w:sz w:val="24"/>
          <w:szCs w:val="24"/>
          <w:lang w:eastAsia="id-ID"/>
        </w:rPr>
        <w:t>.</w:t>
      </w:r>
    </w:p>
    <w:p w:rsidR="00B7466D" w:rsidRPr="00FA07C3" w:rsidRDefault="00B7466D" w:rsidP="000000FF">
      <w:pPr>
        <w:pStyle w:val="ListParagraph"/>
        <w:spacing w:after="0" w:line="360" w:lineRule="auto"/>
        <w:ind w:left="360"/>
        <w:jc w:val="both"/>
        <w:rPr>
          <w:rFonts w:ascii="Bookman Old Style" w:eastAsia="Times New Roman" w:hAnsi="Bookman Old Style" w:cs="Arial"/>
          <w:sz w:val="24"/>
          <w:szCs w:val="30"/>
          <w:lang w:eastAsia="id-ID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sz w:val="24"/>
          <w:szCs w:val="24"/>
          <w:lang w:val="id-ID"/>
        </w:rPr>
      </w:pPr>
      <w:r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Semarang,        </w:t>
      </w:r>
      <w:proofErr w:type="spellStart"/>
      <w:r w:rsidR="00311B02">
        <w:rPr>
          <w:rFonts w:ascii="Bookman Old Style" w:hAnsi="Bookman Old Style" w:cs="Arial"/>
          <w:b w:val="0"/>
          <w:sz w:val="24"/>
          <w:szCs w:val="24"/>
          <w:lang w:val="en-GB"/>
        </w:rPr>
        <w:t>Oktober</w:t>
      </w:r>
      <w:proofErr w:type="spellEnd"/>
      <w:r w:rsidR="00273CF7"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r w:rsidR="00504244"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 2018</w:t>
      </w: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sz w:val="24"/>
          <w:szCs w:val="24"/>
          <w:lang w:val="id-ID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  <w:lang w:val="id-ID"/>
        </w:rPr>
      </w:pPr>
      <w:proofErr w:type="spellStart"/>
      <w:proofErr w:type="gramStart"/>
      <w:r w:rsidRPr="00FA07C3">
        <w:rPr>
          <w:rFonts w:ascii="Bookman Old Style" w:hAnsi="Bookman Old Style" w:cs="Arial"/>
          <w:b w:val="0"/>
          <w:sz w:val="24"/>
          <w:szCs w:val="24"/>
        </w:rPr>
        <w:t>Kepala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</w:rPr>
        <w:t xml:space="preserve">  Biro</w:t>
      </w:r>
      <w:proofErr w:type="gramEnd"/>
      <w:r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Umum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</w:rPr>
        <w:t xml:space="preserve"> SETDA </w:t>
      </w: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Provinsi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Jawa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</w:rPr>
        <w:t xml:space="preserve"> Tengah,</w:t>
      </w: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Selaku</w:t>
      </w:r>
      <w:proofErr w:type="spellEnd"/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Kuasa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Pengguna</w:t>
      </w:r>
      <w:proofErr w:type="spellEnd"/>
      <w:r w:rsidRPr="00FA07C3">
        <w:rPr>
          <w:rFonts w:ascii="Bookman Old Style" w:hAnsi="Bookman Old Style" w:cs="Arial"/>
          <w:b w:val="0"/>
          <w:sz w:val="24"/>
          <w:szCs w:val="24"/>
          <w:lang w:val="id-ID"/>
        </w:rPr>
        <w:t xml:space="preserve"> </w:t>
      </w:r>
      <w:proofErr w:type="spellStart"/>
      <w:r w:rsidRPr="00FA07C3">
        <w:rPr>
          <w:rFonts w:ascii="Bookman Old Style" w:hAnsi="Bookman Old Style" w:cs="Arial"/>
          <w:b w:val="0"/>
          <w:sz w:val="24"/>
          <w:szCs w:val="24"/>
        </w:rPr>
        <w:t>Anggaran</w:t>
      </w:r>
      <w:proofErr w:type="spellEnd"/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</w:rPr>
      </w:pPr>
    </w:p>
    <w:p w:rsidR="00CD5E33" w:rsidRPr="00FA07C3" w:rsidRDefault="00CD5E33" w:rsidP="00CD5E33">
      <w:pPr>
        <w:pStyle w:val="Title"/>
        <w:spacing w:before="0" w:after="0"/>
        <w:ind w:left="4820"/>
        <w:rPr>
          <w:rFonts w:ascii="Bookman Old Style" w:hAnsi="Bookman Old Style" w:cs="Arial"/>
          <w:b w:val="0"/>
          <w:bCs/>
          <w:sz w:val="24"/>
          <w:szCs w:val="24"/>
          <w:u w:val="single"/>
          <w:lang w:val="id-ID"/>
        </w:rPr>
      </w:pPr>
      <w:r w:rsidRPr="00FA07C3">
        <w:rPr>
          <w:rFonts w:ascii="Bookman Old Style" w:hAnsi="Bookman Old Style" w:cs="Arial"/>
          <w:b w:val="0"/>
          <w:sz w:val="24"/>
          <w:szCs w:val="24"/>
          <w:u w:val="single"/>
          <w:lang w:val="id-ID"/>
        </w:rPr>
        <w:t>EDY SUPRIYANTA, ATD, SH, MM</w:t>
      </w:r>
    </w:p>
    <w:p w:rsidR="00651BF5" w:rsidRPr="00FA07C3" w:rsidRDefault="00CD5E33" w:rsidP="00CD5E33">
      <w:pPr>
        <w:spacing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  <w:r w:rsidRPr="00FA07C3">
        <w:rPr>
          <w:rFonts w:ascii="Bookman Old Style" w:hAnsi="Bookman Old Style" w:cs="Arial"/>
          <w:sz w:val="24"/>
          <w:szCs w:val="24"/>
        </w:rPr>
        <w:t>NIP. 19650504 198803 1 014</w:t>
      </w:r>
    </w:p>
    <w:sectPr w:rsidR="00651BF5" w:rsidRPr="00FA07C3" w:rsidSect="00A2574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389"/>
    <w:multiLevelType w:val="hybridMultilevel"/>
    <w:tmpl w:val="4B3E18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1">
      <w:start w:val="1"/>
      <w:numFmt w:val="decimal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5261C"/>
    <w:multiLevelType w:val="hybridMultilevel"/>
    <w:tmpl w:val="00563392"/>
    <w:lvl w:ilvl="0" w:tplc="0EDED1DE">
      <w:start w:val="1"/>
      <w:numFmt w:val="lowerLetter"/>
      <w:lvlText w:val="%1."/>
      <w:lvlJc w:val="left"/>
      <w:pPr>
        <w:ind w:left="1080" w:hanging="360"/>
      </w:pPr>
      <w:rPr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2" w:tplc="34C61BFA">
      <w:start w:val="8"/>
      <w:numFmt w:val="upperRoman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12052"/>
    <w:multiLevelType w:val="hybridMultilevel"/>
    <w:tmpl w:val="429A994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F5"/>
    <w:rsid w:val="000000FF"/>
    <w:rsid w:val="00126CCB"/>
    <w:rsid w:val="00190B64"/>
    <w:rsid w:val="001A500E"/>
    <w:rsid w:val="00273CF7"/>
    <w:rsid w:val="00311B02"/>
    <w:rsid w:val="00337AB3"/>
    <w:rsid w:val="00381E93"/>
    <w:rsid w:val="00386D62"/>
    <w:rsid w:val="003E1548"/>
    <w:rsid w:val="0041304B"/>
    <w:rsid w:val="004D0453"/>
    <w:rsid w:val="00504244"/>
    <w:rsid w:val="00583D58"/>
    <w:rsid w:val="005A06F3"/>
    <w:rsid w:val="00631359"/>
    <w:rsid w:val="00651BF5"/>
    <w:rsid w:val="00656482"/>
    <w:rsid w:val="00693103"/>
    <w:rsid w:val="00865FBF"/>
    <w:rsid w:val="008C7CB7"/>
    <w:rsid w:val="009E454D"/>
    <w:rsid w:val="00A25742"/>
    <w:rsid w:val="00AE3C6B"/>
    <w:rsid w:val="00B7466D"/>
    <w:rsid w:val="00C66292"/>
    <w:rsid w:val="00C84A12"/>
    <w:rsid w:val="00CD5E33"/>
    <w:rsid w:val="00CE4B66"/>
    <w:rsid w:val="00CF18F2"/>
    <w:rsid w:val="00DD690C"/>
    <w:rsid w:val="00DE2400"/>
    <w:rsid w:val="00DE2C50"/>
    <w:rsid w:val="00F224D4"/>
    <w:rsid w:val="00F24A21"/>
    <w:rsid w:val="00FA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9C2"/>
  <w15:docId w15:val="{958CD30E-8680-4D2D-92F4-0C9399BD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0E"/>
    <w:pPr>
      <w:ind w:left="720"/>
      <w:contextualSpacing/>
    </w:pPr>
  </w:style>
  <w:style w:type="table" w:styleId="TableGrid">
    <w:name w:val="Table Grid"/>
    <w:basedOn w:val="TableNormal"/>
    <w:uiPriority w:val="59"/>
    <w:rsid w:val="0000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D5E33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D5E33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BodyText2">
    <w:name w:val="Body Text 2"/>
    <w:basedOn w:val="Normal"/>
    <w:link w:val="BodyText2Char"/>
    <w:rsid w:val="008C7C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C7C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Rosyid</cp:lastModifiedBy>
  <cp:revision>5</cp:revision>
  <cp:lastPrinted>2016-03-04T07:13:00Z</cp:lastPrinted>
  <dcterms:created xsi:type="dcterms:W3CDTF">2018-05-02T02:40:00Z</dcterms:created>
  <dcterms:modified xsi:type="dcterms:W3CDTF">2019-03-05T05:14:00Z</dcterms:modified>
</cp:coreProperties>
</file>